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1E4DE1">
      <w:pPr>
        <w:pStyle w:val="4"/>
        <w:spacing w:line="480" w:lineRule="auto"/>
        <w:jc w:val="center"/>
        <w:rPr>
          <w:rFonts w:hint="eastAsia"/>
          <w:sz w:val="36"/>
        </w:rPr>
      </w:pPr>
      <w:bookmarkStart w:id="0" w:name="_Toc530988449"/>
      <w:bookmarkStart w:id="1" w:name="_Toc5095383"/>
      <w:r>
        <w:rPr>
          <w:rFonts w:hint="eastAsia"/>
          <w:sz w:val="36"/>
        </w:rPr>
        <w:t>项目需求</w:t>
      </w:r>
      <w:bookmarkEnd w:id="0"/>
      <w:bookmarkEnd w:id="1"/>
    </w:p>
    <w:p w14:paraId="3A8659AB">
      <w:pPr>
        <w:spacing w:line="360" w:lineRule="auto"/>
        <w:ind w:firstLine="422" w:firstLineChars="200"/>
        <w:rPr>
          <w:rFonts w:ascii="宋体" w:hAnsi="宋体"/>
          <w:szCs w:val="21"/>
        </w:rPr>
      </w:pPr>
      <w:r>
        <w:rPr>
          <w:rFonts w:hint="eastAsia" w:ascii="宋体" w:hAnsi="宋体" w:cs="仿宋"/>
          <w:b/>
          <w:szCs w:val="21"/>
        </w:rPr>
        <w:t>（一）项目介绍</w:t>
      </w:r>
    </w:p>
    <w:p w14:paraId="63376BE2">
      <w:pPr>
        <w:spacing w:line="360" w:lineRule="auto"/>
        <w:ind w:firstLine="420" w:firstLineChars="200"/>
        <w:jc w:val="left"/>
        <w:rPr>
          <w:rFonts w:ascii="宋体" w:hAnsi="宋体" w:cs="仿宋"/>
          <w:szCs w:val="21"/>
        </w:rPr>
      </w:pPr>
      <w:r>
        <w:rPr>
          <w:rFonts w:hint="eastAsia" w:ascii="宋体" w:hAnsi="宋体" w:cs="仿宋"/>
          <w:szCs w:val="21"/>
          <w:shd w:val="clear" w:color="auto" w:fill="FFFFFF"/>
        </w:rPr>
        <w:t>1、本次招标的</w:t>
      </w:r>
      <w:r>
        <w:rPr>
          <w:rFonts w:hint="eastAsia" w:ascii="宋体" w:hAnsi="宋体"/>
          <w:szCs w:val="21"/>
        </w:rPr>
        <w:t>仪征市技师学院学生平安保险采购项目</w:t>
      </w:r>
      <w:r>
        <w:rPr>
          <w:rFonts w:hint="eastAsia" w:ascii="宋体" w:hAnsi="宋体" w:cs="仿宋"/>
          <w:szCs w:val="21"/>
          <w:shd w:val="clear" w:color="auto" w:fill="FFFFFF"/>
        </w:rPr>
        <w:t>适用仪征市技师学院所有的学生</w:t>
      </w:r>
      <w:r>
        <w:rPr>
          <w:rFonts w:hint="eastAsia" w:ascii="宋体" w:hAnsi="宋体" w:cs="仿宋"/>
          <w:szCs w:val="21"/>
        </w:rPr>
        <w:t>。</w:t>
      </w:r>
    </w:p>
    <w:p w14:paraId="2CCA32E0">
      <w:pPr>
        <w:spacing w:line="360" w:lineRule="auto"/>
        <w:ind w:firstLine="420" w:firstLineChars="200"/>
        <w:jc w:val="left"/>
        <w:rPr>
          <w:rFonts w:hint="eastAsia" w:ascii="宋体" w:hAnsi="宋体"/>
          <w:szCs w:val="21"/>
        </w:rPr>
      </w:pPr>
      <w:r>
        <w:rPr>
          <w:rFonts w:hint="eastAsia" w:ascii="宋体" w:hAnsi="宋体" w:cs="仿宋"/>
          <w:szCs w:val="21"/>
        </w:rPr>
        <w:t>（1）</w:t>
      </w:r>
      <w:r>
        <w:rPr>
          <w:rFonts w:hint="eastAsia" w:ascii="宋体" w:hAnsi="宋体"/>
          <w:szCs w:val="21"/>
        </w:rPr>
        <w:t>被保险人年龄：</w:t>
      </w:r>
    </w:p>
    <w:p w14:paraId="0CC1A98E">
      <w:pPr>
        <w:spacing w:line="360" w:lineRule="auto"/>
        <w:ind w:firstLine="420" w:firstLineChars="200"/>
        <w:outlineLvl w:val="0"/>
        <w:rPr>
          <w:rFonts w:ascii="宋体" w:hAnsi="宋体"/>
          <w:szCs w:val="21"/>
        </w:rPr>
      </w:pPr>
      <w:r>
        <w:rPr>
          <w:rFonts w:hint="eastAsia" w:ascii="宋体" w:hAnsi="宋体"/>
          <w:szCs w:val="21"/>
        </w:rPr>
        <w:t>学生: 3-25周岁；</w:t>
      </w:r>
    </w:p>
    <w:p w14:paraId="0CEAD453">
      <w:pPr>
        <w:spacing w:line="360" w:lineRule="auto"/>
        <w:ind w:firstLine="420" w:firstLineChars="200"/>
        <w:outlineLvl w:val="0"/>
        <w:rPr>
          <w:rFonts w:hint="eastAsia" w:ascii="宋体" w:hAnsi="宋体"/>
          <w:szCs w:val="21"/>
        </w:rPr>
      </w:pPr>
      <w:r>
        <w:rPr>
          <w:rFonts w:hint="eastAsia" w:ascii="宋体" w:hAnsi="宋体"/>
          <w:szCs w:val="21"/>
        </w:rPr>
        <w:t>（2）参保人数：</w:t>
      </w:r>
    </w:p>
    <w:p w14:paraId="602BB1DE">
      <w:pPr>
        <w:spacing w:line="360" w:lineRule="auto"/>
        <w:ind w:firstLine="420" w:firstLineChars="200"/>
        <w:outlineLvl w:val="0"/>
        <w:rPr>
          <w:rFonts w:hint="eastAsia" w:ascii="宋体" w:hAnsi="宋体"/>
          <w:szCs w:val="21"/>
        </w:rPr>
      </w:pPr>
      <w:r>
        <w:rPr>
          <w:rFonts w:hint="eastAsia" w:ascii="宋体" w:hAnsi="宋体"/>
          <w:szCs w:val="21"/>
        </w:rPr>
        <w:t>学生:？人；</w:t>
      </w:r>
    </w:p>
    <w:p w14:paraId="485D1618">
      <w:pPr>
        <w:spacing w:line="360" w:lineRule="auto"/>
        <w:ind w:firstLine="422" w:firstLineChars="200"/>
        <w:outlineLvl w:val="0"/>
        <w:rPr>
          <w:rFonts w:hint="eastAsia" w:ascii="宋体" w:hAnsi="宋体" w:cs="仿宋"/>
          <w:b/>
          <w:szCs w:val="21"/>
        </w:rPr>
      </w:pPr>
      <w:r>
        <w:rPr>
          <w:rFonts w:hint="eastAsia" w:ascii="宋体" w:hAnsi="宋体"/>
          <w:b/>
          <w:bCs/>
          <w:szCs w:val="21"/>
          <w:u w:val="single"/>
        </w:rPr>
        <w:t>每人保费金额为：200.00元/人/年（最高限价单价）；项目总资金预算为：？元/年；合同履行期限：1年，合同一年一签；本项目以单价报价；具体人员数量和保费金额以实际发生为准。</w:t>
      </w:r>
    </w:p>
    <w:p w14:paraId="47099325">
      <w:pPr>
        <w:spacing w:line="360" w:lineRule="auto"/>
        <w:jc w:val="left"/>
        <w:rPr>
          <w:rFonts w:hint="eastAsia" w:ascii="宋体" w:hAnsi="宋体" w:cs="仿宋"/>
          <w:b/>
          <w:szCs w:val="21"/>
        </w:rPr>
      </w:pPr>
      <w:r>
        <w:rPr>
          <w:rFonts w:hint="eastAsia" w:ascii="宋体" w:hAnsi="宋体" w:cs="仿宋"/>
          <w:b/>
          <w:szCs w:val="21"/>
        </w:rPr>
        <w:t>（二）保险方案要求</w:t>
      </w:r>
    </w:p>
    <w:p w14:paraId="3A7C4255">
      <w:pPr>
        <w:spacing w:line="360" w:lineRule="auto"/>
        <w:ind w:firstLine="420" w:firstLineChars="200"/>
        <w:jc w:val="left"/>
      </w:pPr>
      <w:r>
        <w:rPr>
          <w:rFonts w:hint="eastAsia" w:ascii="宋体" w:hAnsi="宋体" w:cs="仿宋"/>
          <w:szCs w:val="21"/>
        </w:rPr>
        <w:t>本项目的中标人，负责</w:t>
      </w:r>
      <w:r>
        <w:rPr>
          <w:rFonts w:hint="eastAsia" w:ascii="宋体" w:hAnsi="宋体"/>
          <w:szCs w:val="21"/>
        </w:rPr>
        <w:t>仪征市技师学院学生平安保险采购项目</w:t>
      </w:r>
      <w:r>
        <w:rPr>
          <w:rFonts w:hint="eastAsia" w:ascii="宋体" w:hAnsi="宋体" w:cs="仿宋"/>
          <w:szCs w:val="21"/>
        </w:rPr>
        <w:t>的承保、理赔等工作。</w:t>
      </w:r>
    </w:p>
    <w:p w14:paraId="3041DB5A">
      <w:pPr>
        <w:spacing w:line="360" w:lineRule="auto"/>
        <w:ind w:firstLine="420" w:firstLineChars="200"/>
        <w:outlineLvl w:val="0"/>
        <w:rPr>
          <w:rFonts w:ascii="宋体" w:hAnsi="宋体"/>
          <w:szCs w:val="21"/>
        </w:rPr>
      </w:pPr>
      <w:r>
        <w:rPr>
          <w:rFonts w:ascii="宋体" w:hAnsi="宋体"/>
          <w:szCs w:val="21"/>
        </w:rPr>
        <w:t>1</w:t>
      </w:r>
      <w:r>
        <w:rPr>
          <w:rFonts w:hint="eastAsia" w:ascii="宋体" w:hAnsi="宋体"/>
          <w:szCs w:val="21"/>
        </w:rPr>
        <w:t>、保险险种名称及条款报备</w:t>
      </w:r>
      <w:r>
        <w:rPr>
          <w:rFonts w:ascii="宋体" w:hAnsi="宋体"/>
          <w:szCs w:val="21"/>
        </w:rPr>
        <w:t>:</w:t>
      </w:r>
    </w:p>
    <w:p w14:paraId="7258A482">
      <w:pPr>
        <w:spacing w:line="360" w:lineRule="auto"/>
        <w:ind w:firstLine="420" w:firstLineChars="200"/>
        <w:outlineLvl w:val="0"/>
        <w:rPr>
          <w:rFonts w:ascii="宋体" w:hAnsi="宋体"/>
          <w:szCs w:val="21"/>
        </w:rPr>
      </w:pPr>
      <w:r>
        <w:rPr>
          <w:rFonts w:hint="eastAsia" w:ascii="宋体" w:hAnsi="宋体"/>
          <w:szCs w:val="21"/>
        </w:rPr>
        <w:t>本项目涉及保险险种：意外身故保险、意外残疾保险、意外门诊/住院保险、疾病身故保险、疾病住院保险、住院津贴保险、重大疾病保险等</w:t>
      </w:r>
      <w:r>
        <w:rPr>
          <w:rFonts w:ascii="宋体" w:hAnsi="宋体"/>
          <w:szCs w:val="21"/>
        </w:rPr>
        <w:t xml:space="preserve"> (</w:t>
      </w:r>
      <w:r>
        <w:rPr>
          <w:rFonts w:hint="eastAsia" w:ascii="宋体" w:hAnsi="宋体"/>
          <w:szCs w:val="21"/>
        </w:rPr>
        <w:t>包括但不限于以上险种</w:t>
      </w:r>
      <w:r>
        <w:rPr>
          <w:rFonts w:ascii="宋体" w:hAnsi="宋体"/>
          <w:szCs w:val="21"/>
        </w:rPr>
        <w:t>)</w:t>
      </w:r>
      <w:r>
        <w:rPr>
          <w:rFonts w:hint="eastAsia" w:ascii="宋体" w:hAnsi="宋体"/>
          <w:szCs w:val="21"/>
        </w:rPr>
        <w:t>。</w:t>
      </w:r>
    </w:p>
    <w:p w14:paraId="7E84EA8B">
      <w:pPr>
        <w:spacing w:line="360" w:lineRule="auto"/>
        <w:ind w:firstLine="420" w:firstLineChars="200"/>
        <w:outlineLvl w:val="0"/>
        <w:rPr>
          <w:rFonts w:ascii="宋体" w:hAnsi="宋体"/>
          <w:szCs w:val="21"/>
        </w:rPr>
      </w:pPr>
      <w:r>
        <w:rPr>
          <w:rFonts w:hint="eastAsia" w:ascii="宋体" w:hAnsi="宋体"/>
          <w:szCs w:val="21"/>
        </w:rPr>
        <w:t>本项目保险条款名称以成中标人向中国银保监会报备的条款名称为准。投标中所用各条款须充分响应本采购文件所涵盖的保险责任，若有差异，需要在差异表中体现，并自行履行条款报备手续，否则将严重影响实质性响应程度。</w:t>
      </w:r>
    </w:p>
    <w:p w14:paraId="43B781A6">
      <w:pPr>
        <w:spacing w:line="520" w:lineRule="exact"/>
        <w:ind w:firstLine="420" w:firstLineChars="200"/>
        <w:jc w:val="left"/>
        <w:rPr>
          <w:rFonts w:hint="eastAsia" w:ascii="宋体" w:hAnsi="宋体"/>
          <w:szCs w:val="21"/>
        </w:rPr>
      </w:pPr>
      <w:r>
        <w:rPr>
          <w:rFonts w:hint="eastAsia" w:ascii="宋体" w:hAnsi="宋体"/>
          <w:szCs w:val="21"/>
        </w:rPr>
        <w:t>2、保险方案：</w:t>
      </w:r>
    </w:p>
    <w:tbl>
      <w:tblPr>
        <w:tblStyle w:val="5"/>
        <w:tblW w:w="9214"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5811"/>
        <w:gridCol w:w="1701"/>
      </w:tblGrid>
      <w:tr w14:paraId="7BF50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702" w:type="dxa"/>
            <w:shd w:val="clear" w:color="auto" w:fill="auto"/>
            <w:noWrap/>
            <w:vAlign w:val="center"/>
          </w:tcPr>
          <w:p w14:paraId="4470E165">
            <w:pPr>
              <w:widowControl/>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保险责任</w:t>
            </w:r>
          </w:p>
        </w:tc>
        <w:tc>
          <w:tcPr>
            <w:tcW w:w="5811" w:type="dxa"/>
            <w:shd w:val="clear" w:color="auto" w:fill="auto"/>
            <w:noWrap/>
            <w:vAlign w:val="center"/>
          </w:tcPr>
          <w:p w14:paraId="58EEDC40">
            <w:pPr>
              <w:widowControl/>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保障范围</w:t>
            </w:r>
          </w:p>
        </w:tc>
        <w:tc>
          <w:tcPr>
            <w:tcW w:w="1701" w:type="dxa"/>
            <w:shd w:val="clear" w:color="auto" w:fill="auto"/>
            <w:noWrap/>
            <w:vAlign w:val="center"/>
          </w:tcPr>
          <w:p w14:paraId="37D015B5">
            <w:pPr>
              <w:widowControl/>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保险金额</w:t>
            </w:r>
          </w:p>
        </w:tc>
      </w:tr>
      <w:tr w14:paraId="6BDA4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702" w:type="dxa"/>
            <w:shd w:val="clear" w:color="auto" w:fill="auto"/>
            <w:noWrap/>
            <w:vAlign w:val="center"/>
          </w:tcPr>
          <w:p w14:paraId="0D97158D">
            <w:pPr>
              <w:widowControl/>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疾病身故保险</w:t>
            </w:r>
          </w:p>
        </w:tc>
        <w:tc>
          <w:tcPr>
            <w:tcW w:w="5811" w:type="dxa"/>
            <w:shd w:val="clear" w:color="auto" w:fill="auto"/>
            <w:noWrap/>
            <w:vAlign w:val="center"/>
          </w:tcPr>
          <w:p w14:paraId="3F7E823B">
            <w:pPr>
              <w:widowControl/>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疾病死亡赔付7万元（30天等待期，续保无等待期）</w:t>
            </w:r>
          </w:p>
        </w:tc>
        <w:tc>
          <w:tcPr>
            <w:tcW w:w="1701" w:type="dxa"/>
            <w:shd w:val="clear" w:color="auto" w:fill="auto"/>
            <w:noWrap/>
            <w:vAlign w:val="center"/>
          </w:tcPr>
          <w:p w14:paraId="087858F8">
            <w:pPr>
              <w:widowControl/>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7万元</w:t>
            </w:r>
          </w:p>
        </w:tc>
      </w:tr>
      <w:tr w14:paraId="0F565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702" w:type="dxa"/>
            <w:shd w:val="clear" w:color="auto" w:fill="auto"/>
            <w:noWrap/>
            <w:vAlign w:val="center"/>
          </w:tcPr>
          <w:p w14:paraId="3DCB3E60">
            <w:pPr>
              <w:widowControl/>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意外身故保险</w:t>
            </w:r>
          </w:p>
        </w:tc>
        <w:tc>
          <w:tcPr>
            <w:tcW w:w="5811" w:type="dxa"/>
            <w:shd w:val="clear" w:color="auto" w:fill="auto"/>
            <w:noWrap/>
            <w:vAlign w:val="center"/>
          </w:tcPr>
          <w:p w14:paraId="7C33038E">
            <w:pPr>
              <w:widowControl/>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意外死亡赔付8万元</w:t>
            </w:r>
          </w:p>
        </w:tc>
        <w:tc>
          <w:tcPr>
            <w:tcW w:w="1701" w:type="dxa"/>
            <w:shd w:val="clear" w:color="auto" w:fill="auto"/>
            <w:noWrap/>
            <w:vAlign w:val="center"/>
          </w:tcPr>
          <w:p w14:paraId="7DDD1D80">
            <w:pPr>
              <w:widowControl/>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8万元</w:t>
            </w:r>
          </w:p>
        </w:tc>
      </w:tr>
      <w:tr w14:paraId="018A2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702" w:type="dxa"/>
            <w:shd w:val="clear" w:color="auto" w:fill="auto"/>
            <w:noWrap/>
            <w:vAlign w:val="center"/>
          </w:tcPr>
          <w:p w14:paraId="2BF10A8D">
            <w:pPr>
              <w:widowControl/>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意外伤残保险</w:t>
            </w:r>
          </w:p>
        </w:tc>
        <w:tc>
          <w:tcPr>
            <w:tcW w:w="5811" w:type="dxa"/>
            <w:shd w:val="clear" w:color="auto" w:fill="auto"/>
            <w:noWrap/>
            <w:vAlign w:val="center"/>
          </w:tcPr>
          <w:p w14:paraId="1171C497">
            <w:pPr>
              <w:widowControl/>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意外残疾，根据伤残等级比例，最高赔付8万元</w:t>
            </w:r>
          </w:p>
        </w:tc>
        <w:tc>
          <w:tcPr>
            <w:tcW w:w="1701" w:type="dxa"/>
            <w:shd w:val="clear" w:color="auto" w:fill="auto"/>
            <w:noWrap/>
            <w:vAlign w:val="center"/>
          </w:tcPr>
          <w:p w14:paraId="6B62E4CC">
            <w:pPr>
              <w:widowControl/>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8万元</w:t>
            </w:r>
          </w:p>
        </w:tc>
      </w:tr>
      <w:tr w14:paraId="171C2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702" w:type="dxa"/>
            <w:vMerge w:val="restart"/>
            <w:shd w:val="clear" w:color="auto" w:fill="auto"/>
            <w:noWrap/>
            <w:vAlign w:val="center"/>
          </w:tcPr>
          <w:p w14:paraId="563BC07D">
            <w:pPr>
              <w:widowControl/>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重大疾病保险</w:t>
            </w:r>
          </w:p>
        </w:tc>
        <w:tc>
          <w:tcPr>
            <w:tcW w:w="5811" w:type="dxa"/>
            <w:shd w:val="clear" w:color="auto" w:fill="auto"/>
            <w:noWrap/>
            <w:vAlign w:val="center"/>
          </w:tcPr>
          <w:p w14:paraId="1CE477BD">
            <w:pPr>
              <w:widowControl/>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诊断为保单所指定的轻症，赔付0.6万元（30天等待期，续保无等待期）</w:t>
            </w:r>
          </w:p>
        </w:tc>
        <w:tc>
          <w:tcPr>
            <w:tcW w:w="1701" w:type="dxa"/>
            <w:shd w:val="clear" w:color="auto" w:fill="auto"/>
            <w:noWrap/>
            <w:vAlign w:val="center"/>
          </w:tcPr>
          <w:p w14:paraId="4C20237A">
            <w:pPr>
              <w:widowControl/>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0.6万元</w:t>
            </w:r>
          </w:p>
        </w:tc>
      </w:tr>
      <w:tr w14:paraId="61CF7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702" w:type="dxa"/>
            <w:vMerge w:val="continue"/>
            <w:vAlign w:val="center"/>
          </w:tcPr>
          <w:p w14:paraId="4D6FE782">
            <w:pPr>
              <w:widowControl/>
              <w:jc w:val="center"/>
              <w:rPr>
                <w:rFonts w:cs="宋体" w:asciiTheme="minorEastAsia" w:hAnsiTheme="minorEastAsia" w:eastAsiaTheme="minorEastAsia"/>
                <w:color w:val="000000"/>
                <w:kern w:val="0"/>
                <w:sz w:val="24"/>
                <w:szCs w:val="24"/>
              </w:rPr>
            </w:pPr>
          </w:p>
        </w:tc>
        <w:tc>
          <w:tcPr>
            <w:tcW w:w="5811" w:type="dxa"/>
            <w:shd w:val="clear" w:color="auto" w:fill="auto"/>
            <w:noWrap/>
            <w:vAlign w:val="center"/>
          </w:tcPr>
          <w:p w14:paraId="1B702C88">
            <w:pPr>
              <w:widowControl/>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诊断为保单所指定的重症，赔付2万元（30天等待期，续保无等待期）</w:t>
            </w:r>
          </w:p>
        </w:tc>
        <w:tc>
          <w:tcPr>
            <w:tcW w:w="1701" w:type="dxa"/>
            <w:shd w:val="clear" w:color="auto" w:fill="auto"/>
            <w:noWrap/>
            <w:vAlign w:val="center"/>
          </w:tcPr>
          <w:p w14:paraId="775F7455">
            <w:pPr>
              <w:widowControl/>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2万元</w:t>
            </w:r>
          </w:p>
        </w:tc>
      </w:tr>
      <w:tr w14:paraId="4BE74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9" w:hRule="atLeast"/>
        </w:trPr>
        <w:tc>
          <w:tcPr>
            <w:tcW w:w="1702" w:type="dxa"/>
            <w:shd w:val="clear" w:color="auto" w:fill="auto"/>
            <w:noWrap/>
            <w:vAlign w:val="center"/>
          </w:tcPr>
          <w:p w14:paraId="1E52DB0A">
            <w:pPr>
              <w:widowControl/>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住院医疗费用保险</w:t>
            </w:r>
          </w:p>
        </w:tc>
        <w:tc>
          <w:tcPr>
            <w:tcW w:w="5811" w:type="dxa"/>
            <w:shd w:val="clear" w:color="auto" w:fill="auto"/>
            <w:noWrap/>
            <w:vAlign w:val="center"/>
          </w:tcPr>
          <w:p w14:paraId="6F980529">
            <w:pPr>
              <w:widowControl/>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因疾病或意外住院医疗费用，医保报销后，免赔额200元，免赔额为100元/次保险事故，保险责任内费用区间分段累进给付比例为：0元-1000元（含），给付比例50%；1000元-5000元（含），给付比例60%；5000元-10000元（含），给付比例70%；10000元-30000元（含），给付比例80%；30000元以上，给付比例90%；医保未报销的，免赔额为200元/次保险事故，保险责任内费用区间分段累进给付比例为：0元-1000元（含），给付比例40%；1000元-5000元（含），给付比例50%；5000元-10000元（含），给付比例60%；10000元-30000元（含），给付比例70%；30000元以上，给付比例80%。（30天等待期，续保无等待期）</w:t>
            </w:r>
          </w:p>
        </w:tc>
        <w:tc>
          <w:tcPr>
            <w:tcW w:w="1701" w:type="dxa"/>
            <w:shd w:val="clear" w:color="auto" w:fill="auto"/>
            <w:noWrap/>
            <w:vAlign w:val="center"/>
          </w:tcPr>
          <w:p w14:paraId="7BD5E5C9">
            <w:pPr>
              <w:widowControl/>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30万元</w:t>
            </w:r>
          </w:p>
        </w:tc>
      </w:tr>
      <w:tr w14:paraId="10E03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1702" w:type="dxa"/>
            <w:shd w:val="clear" w:color="auto" w:fill="auto"/>
            <w:noWrap/>
            <w:vAlign w:val="center"/>
          </w:tcPr>
          <w:p w14:paraId="5B41D8E8">
            <w:pPr>
              <w:widowControl/>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住院津贴</w:t>
            </w:r>
          </w:p>
        </w:tc>
        <w:tc>
          <w:tcPr>
            <w:tcW w:w="5811" w:type="dxa"/>
            <w:shd w:val="clear" w:color="auto" w:fill="auto"/>
            <w:noWrap/>
            <w:vAlign w:val="center"/>
          </w:tcPr>
          <w:p w14:paraId="71879D9C">
            <w:pPr>
              <w:widowControl/>
              <w:jc w:val="center"/>
              <w:rPr>
                <w:rFonts w:hint="eastAsia" w:cs="宋体" w:asciiTheme="minorEastAsia" w:hAnsiTheme="minorEastAsia" w:eastAsiaTheme="minorEastAsia"/>
                <w:color w:val="FF0000"/>
                <w:kern w:val="0"/>
                <w:sz w:val="24"/>
                <w:szCs w:val="24"/>
              </w:rPr>
            </w:pPr>
            <w:r>
              <w:rPr>
                <w:rFonts w:hint="eastAsia" w:cs="宋体" w:asciiTheme="minorEastAsia" w:hAnsiTheme="minorEastAsia" w:eastAsiaTheme="minorEastAsia"/>
                <w:color w:val="000000"/>
                <w:kern w:val="0"/>
                <w:sz w:val="24"/>
                <w:szCs w:val="24"/>
              </w:rPr>
              <w:t>因疾病或者意外住院，按照被保险人的实际住院天数乘以</w:t>
            </w:r>
            <w:r>
              <w:rPr>
                <w:rFonts w:hint="eastAsia" w:cs="宋体" w:asciiTheme="minorEastAsia" w:hAnsiTheme="minorEastAsia" w:eastAsiaTheme="minorEastAsia"/>
                <w:color w:val="FF0000"/>
                <w:kern w:val="0"/>
                <w:sz w:val="24"/>
                <w:szCs w:val="24"/>
              </w:rPr>
              <w:t>30元/天</w:t>
            </w:r>
            <w:r>
              <w:rPr>
                <w:rFonts w:hint="eastAsia" w:cs="宋体" w:asciiTheme="minorEastAsia" w:hAnsiTheme="minorEastAsia" w:eastAsiaTheme="minorEastAsia"/>
                <w:color w:val="000000"/>
                <w:kern w:val="0"/>
                <w:sz w:val="24"/>
                <w:szCs w:val="24"/>
              </w:rPr>
              <w:t>计算并给付(30天等待期，续保无等待期)</w:t>
            </w:r>
            <w:r>
              <w:rPr>
                <w:rFonts w:hint="eastAsia" w:cs="宋体" w:asciiTheme="minorEastAsia" w:hAnsiTheme="minorEastAsia" w:eastAsiaTheme="minorEastAsia"/>
                <w:color w:val="FF0000"/>
                <w:kern w:val="0"/>
                <w:sz w:val="24"/>
                <w:szCs w:val="24"/>
              </w:rPr>
              <w:t>免赔3天</w:t>
            </w:r>
          </w:p>
          <w:p w14:paraId="6382576C">
            <w:pPr>
              <w:pStyle w:val="2"/>
            </w:pPr>
          </w:p>
        </w:tc>
        <w:tc>
          <w:tcPr>
            <w:tcW w:w="1701" w:type="dxa"/>
            <w:shd w:val="clear" w:color="auto" w:fill="auto"/>
            <w:noWrap/>
            <w:vAlign w:val="center"/>
          </w:tcPr>
          <w:p w14:paraId="5488B2CC">
            <w:pPr>
              <w:widowControl/>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0.54万元</w:t>
            </w:r>
          </w:p>
        </w:tc>
      </w:tr>
      <w:tr w14:paraId="3B860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1702" w:type="dxa"/>
            <w:shd w:val="clear" w:color="auto" w:fill="auto"/>
            <w:noWrap/>
            <w:vAlign w:val="center"/>
          </w:tcPr>
          <w:p w14:paraId="350469C8">
            <w:pPr>
              <w:widowControl/>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意外伤害医疗费用保险</w:t>
            </w:r>
          </w:p>
        </w:tc>
        <w:tc>
          <w:tcPr>
            <w:tcW w:w="5811" w:type="dxa"/>
            <w:shd w:val="clear" w:color="auto" w:fill="auto"/>
            <w:noWrap/>
            <w:vAlign w:val="center"/>
          </w:tcPr>
          <w:p w14:paraId="0F5E3F3E">
            <w:pPr>
              <w:widowControl/>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意外伤害的门诊费用，医保报销后，免赔额100元，剩余的医保范围内费用按80%赔付；医保未报销的，免赔</w:t>
            </w:r>
            <w:bookmarkStart w:id="2" w:name="_GoBack"/>
            <w:bookmarkEnd w:id="2"/>
            <w:r>
              <w:rPr>
                <w:rFonts w:hint="eastAsia" w:cs="宋体" w:asciiTheme="minorEastAsia" w:hAnsiTheme="minorEastAsia" w:eastAsiaTheme="minorEastAsia"/>
                <w:color w:val="000000"/>
                <w:kern w:val="0"/>
                <w:sz w:val="24"/>
                <w:szCs w:val="24"/>
              </w:rPr>
              <w:t>额200元，医保范围内费用按60%赔付</w:t>
            </w:r>
          </w:p>
        </w:tc>
        <w:tc>
          <w:tcPr>
            <w:tcW w:w="1701" w:type="dxa"/>
            <w:shd w:val="clear" w:color="auto" w:fill="auto"/>
            <w:noWrap/>
            <w:vAlign w:val="center"/>
          </w:tcPr>
          <w:p w14:paraId="00B1C9F2">
            <w:pPr>
              <w:widowControl/>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1万元</w:t>
            </w:r>
          </w:p>
        </w:tc>
      </w:tr>
      <w:tr w14:paraId="4C1AD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702" w:type="dxa"/>
            <w:shd w:val="clear" w:color="auto" w:fill="auto"/>
            <w:noWrap/>
            <w:vAlign w:val="center"/>
          </w:tcPr>
          <w:p w14:paraId="423204A0">
            <w:pPr>
              <w:widowControl/>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狂犬疫苗接种医疗</w:t>
            </w:r>
          </w:p>
        </w:tc>
        <w:tc>
          <w:tcPr>
            <w:tcW w:w="5811" w:type="dxa"/>
            <w:shd w:val="clear" w:color="auto" w:fill="auto"/>
            <w:noWrap/>
            <w:vAlign w:val="center"/>
          </w:tcPr>
          <w:p w14:paraId="22A6694A">
            <w:pPr>
              <w:widowControl/>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接种狂犬疫苗的门诊及住院医疗费用，免赔额100元，剩余的医保范围内费用按90%赔付</w:t>
            </w:r>
          </w:p>
        </w:tc>
        <w:tc>
          <w:tcPr>
            <w:tcW w:w="1701" w:type="dxa"/>
            <w:shd w:val="clear" w:color="auto" w:fill="auto"/>
            <w:noWrap/>
            <w:vAlign w:val="center"/>
          </w:tcPr>
          <w:p w14:paraId="2F047A3E">
            <w:pPr>
              <w:widowControl/>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0.3万元</w:t>
            </w:r>
          </w:p>
        </w:tc>
      </w:tr>
      <w:tr w14:paraId="05C79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702" w:type="dxa"/>
            <w:shd w:val="clear" w:color="auto" w:fill="auto"/>
            <w:noWrap/>
            <w:vAlign w:val="center"/>
          </w:tcPr>
          <w:p w14:paraId="59750B55">
            <w:pPr>
              <w:widowControl/>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意外创伤性牙齿修复医疗</w:t>
            </w:r>
          </w:p>
        </w:tc>
        <w:tc>
          <w:tcPr>
            <w:tcW w:w="5811" w:type="dxa"/>
            <w:shd w:val="clear" w:color="auto" w:fill="auto"/>
            <w:noWrap/>
            <w:vAlign w:val="center"/>
          </w:tcPr>
          <w:p w14:paraId="1CF65214">
            <w:pPr>
              <w:widowControl/>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免赔额500元，给付比例为90%</w:t>
            </w:r>
          </w:p>
        </w:tc>
        <w:tc>
          <w:tcPr>
            <w:tcW w:w="1701" w:type="dxa"/>
            <w:shd w:val="clear" w:color="auto" w:fill="auto"/>
            <w:noWrap/>
            <w:vAlign w:val="center"/>
          </w:tcPr>
          <w:p w14:paraId="075360B7">
            <w:pPr>
              <w:widowControl/>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0.5万元</w:t>
            </w:r>
          </w:p>
        </w:tc>
      </w:tr>
      <w:tr w14:paraId="34B9A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702" w:type="dxa"/>
            <w:shd w:val="clear" w:color="auto" w:fill="auto"/>
            <w:noWrap/>
            <w:vAlign w:val="center"/>
          </w:tcPr>
          <w:p w14:paraId="3CA06065">
            <w:pPr>
              <w:widowControl/>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意外微创美容缝合医疗</w:t>
            </w:r>
          </w:p>
        </w:tc>
        <w:tc>
          <w:tcPr>
            <w:tcW w:w="5811" w:type="dxa"/>
            <w:shd w:val="clear" w:color="auto" w:fill="auto"/>
            <w:noWrap/>
            <w:vAlign w:val="center"/>
          </w:tcPr>
          <w:p w14:paraId="235CD95F">
            <w:pPr>
              <w:widowControl/>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免赔额500元，给付比例为90%</w:t>
            </w:r>
          </w:p>
        </w:tc>
        <w:tc>
          <w:tcPr>
            <w:tcW w:w="1701" w:type="dxa"/>
            <w:shd w:val="clear" w:color="auto" w:fill="auto"/>
            <w:noWrap/>
            <w:vAlign w:val="center"/>
          </w:tcPr>
          <w:p w14:paraId="6DFBE1C5">
            <w:pPr>
              <w:widowControl/>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0.5万元</w:t>
            </w:r>
          </w:p>
        </w:tc>
      </w:tr>
    </w:tbl>
    <w:p w14:paraId="177FBE5B">
      <w:pPr>
        <w:numPr>
          <w:ilvl w:val="0"/>
          <w:numId w:val="1"/>
        </w:numPr>
        <w:spacing w:line="360" w:lineRule="auto"/>
        <w:jc w:val="left"/>
        <w:rPr>
          <w:rFonts w:ascii="宋体" w:hAnsi="宋体" w:cs="宋体"/>
          <w:szCs w:val="21"/>
        </w:rPr>
      </w:pPr>
      <w:r>
        <w:rPr>
          <w:rFonts w:hint="eastAsia" w:ascii="宋体" w:hAnsi="宋体" w:cs="仿宋"/>
          <w:b/>
          <w:szCs w:val="21"/>
        </w:rPr>
        <w:t>付款方式</w:t>
      </w:r>
    </w:p>
    <w:p w14:paraId="685B13EF">
      <w:r>
        <w:rPr>
          <w:rFonts w:hint="eastAsia"/>
          <w:szCs w:val="21"/>
          <w:u w:val="single"/>
        </w:rPr>
        <w:t>合同一年一签，按年支付，合同签订后，甲方自收到乙方发票的10个工作日内，根据实际参保人数支付当年款项</w:t>
      </w:r>
      <w:r>
        <w:rPr>
          <w:rFonts w:hint="eastAsia" w:ascii="宋体" w:hAnsi="宋体" w:cs="宋体"/>
          <w:szCs w:val="21"/>
          <w:u w:val="single"/>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25126E"/>
    <w:multiLevelType w:val="singleLevel"/>
    <w:tmpl w:val="C125126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3D7"/>
    <w:rsid w:val="003633D7"/>
    <w:rsid w:val="00446EDF"/>
    <w:rsid w:val="006F3B08"/>
    <w:rsid w:val="41B43F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1"/>
    <w:basedOn w:val="1"/>
    <w:next w:val="1"/>
    <w:link w:val="7"/>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8"/>
    <w:uiPriority w:val="0"/>
    <w:rPr>
      <w:rFonts w:ascii="楷体_GB2312" w:hAnsi="Arial" w:eastAsia="楷体_GB2312"/>
      <w:kern w:val="0"/>
      <w:sz w:val="28"/>
      <w:szCs w:val="28"/>
    </w:rPr>
  </w:style>
  <w:style w:type="paragraph" w:styleId="3">
    <w:name w:val="Body Text 2"/>
    <w:basedOn w:val="1"/>
    <w:link w:val="9"/>
    <w:qFormat/>
    <w:uiPriority w:val="0"/>
    <w:rPr>
      <w:sz w:val="24"/>
      <w:szCs w:val="24"/>
    </w:rPr>
  </w:style>
  <w:style w:type="character" w:customStyle="1" w:styleId="7">
    <w:name w:val="标题 1 Char"/>
    <w:basedOn w:val="6"/>
    <w:link w:val="4"/>
    <w:uiPriority w:val="9"/>
    <w:rPr>
      <w:rFonts w:ascii="Times New Roman" w:hAnsi="Times New Roman" w:eastAsia="宋体" w:cs="Times New Roman"/>
      <w:b/>
      <w:bCs/>
      <w:kern w:val="44"/>
      <w:sz w:val="44"/>
      <w:szCs w:val="44"/>
    </w:rPr>
  </w:style>
  <w:style w:type="character" w:customStyle="1" w:styleId="8">
    <w:name w:val="正文文本 Char"/>
    <w:basedOn w:val="6"/>
    <w:link w:val="2"/>
    <w:uiPriority w:val="0"/>
    <w:rPr>
      <w:rFonts w:ascii="楷体_GB2312" w:hAnsi="Arial" w:eastAsia="楷体_GB2312" w:cs="Times New Roman"/>
      <w:kern w:val="0"/>
      <w:sz w:val="28"/>
      <w:szCs w:val="28"/>
    </w:rPr>
  </w:style>
  <w:style w:type="character" w:customStyle="1" w:styleId="9">
    <w:name w:val="正文文本 2 Char"/>
    <w:basedOn w:val="6"/>
    <w:link w:val="3"/>
    <w:qFormat/>
    <w:uiPriority w:val="0"/>
    <w:rPr>
      <w:rFonts w:ascii="Times New Roman" w:hAnsi="Times New Roman" w:eastAsia="宋体" w:cs="Times New Roman"/>
      <w:sz w:val="24"/>
      <w:szCs w:val="24"/>
    </w:rPr>
  </w:style>
  <w:style w:type="paragraph" w:customStyle="1" w:styleId="10">
    <w:name w:val="纯文本2"/>
    <w:qFormat/>
    <w:uiPriority w:val="0"/>
    <w:pPr>
      <w:widowControl w:val="0"/>
      <w:adjustRightInd w:val="0"/>
      <w:jc w:val="both"/>
      <w:textAlignment w:val="baseline"/>
    </w:pPr>
    <w:rPr>
      <w:rFonts w:ascii="宋体" w:hAnsi="Courier New" w:eastAsia="楷体_GB2312" w:cs="Times New Roman"/>
      <w:kern w:val="2"/>
      <w:sz w:val="28"/>
      <w:szCs w:val="20"/>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6268F23C</Template>
  <Pages>2</Pages>
  <Words>1111</Words>
  <Characters>1251</Characters>
  <Lines>9</Lines>
  <Paragraphs>2</Paragraphs>
  <TotalTime>1140</TotalTime>
  <ScaleCrop>false</ScaleCrop>
  <LinksUpToDate>false</LinksUpToDate>
  <CharactersWithSpaces>1253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2026-07-03T06:48:00Z</dcterms:created>
  <dc:creator>李震霞</dc:creator>
  <cp:lastModifiedBy>流年</cp:lastModifiedBy>
  <dcterms:modified xsi:type="dcterms:W3CDTF">2026-07-11T01:53:19Z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eyJoZGlkIjoiZWE3OTFkMTBlZGI0M2FiZmI4YzRiNTU4OTE3ZTA3YjciLCJ1c2VySWQiOiI5OTIwODE4NjcifQ==</vt:lpwstr>
  </property>
  <property fmtid="{D5CDD505-2E9C-101B-9397-08002B2CF9AE}" pid="3" name="KSOProductBuildVer">
    <vt:lpwstr>2052-12.1.0.26895</vt:lpwstr>
  </property>
  <property fmtid="{D5CDD505-2E9C-101B-9397-08002B2CF9AE}" pid="4" name="ICV">
    <vt:lpwstr>F5BEF66A75444282B9B7181D425CB0D8_12</vt:lpwstr>
  </property>
</Properties>
</file>